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DF8A6" w14:textId="24066542" w:rsidR="002877C0" w:rsidRPr="00B80864" w:rsidRDefault="002877C0" w:rsidP="005C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97838460"/>
      <w:r w:rsidRPr="00B8086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1A98D7C4" w14:textId="77777777" w:rsidR="002877C0" w:rsidRPr="00B80864" w:rsidRDefault="002877C0" w:rsidP="005C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749A3D90" w14:textId="77777777" w:rsidR="002877C0" w:rsidRPr="00B80864" w:rsidRDefault="002877C0" w:rsidP="005C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38A277" w14:textId="77777777" w:rsidR="002877C0" w:rsidRPr="00B80864" w:rsidRDefault="002877C0" w:rsidP="005C01E8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808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808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808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03BD9177" w14:textId="77777777" w:rsidR="002877C0" w:rsidRPr="00B80864" w:rsidRDefault="002877C0" w:rsidP="005C0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23ABB" w14:textId="77777777" w:rsidR="002877C0" w:rsidRPr="00B80864" w:rsidRDefault="002877C0" w:rsidP="005C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113C9C4" w14:textId="77777777" w:rsidR="002877C0" w:rsidRPr="00B80864" w:rsidRDefault="002877C0" w:rsidP="005C0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300FA9" w14:textId="20E9C627" w:rsidR="002877C0" w:rsidRPr="00B80864" w:rsidRDefault="009F63E6" w:rsidP="005C0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16.09</w:t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582A12" w:rsidRPr="00B80864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5B7B3E">
        <w:rPr>
          <w:rFonts w:ascii="Times New Roman" w:eastAsia="Times New Roman" w:hAnsi="Times New Roman" w:cs="Times New Roman"/>
          <w:sz w:val="28"/>
          <w:szCs w:val="28"/>
        </w:rPr>
        <w:t>170</w:t>
      </w:r>
    </w:p>
    <w:p w14:paraId="31D5ADB9" w14:textId="77777777" w:rsidR="002877C0" w:rsidRPr="00B80864" w:rsidRDefault="002877C0" w:rsidP="005C01E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21C4D" w14:textId="77777777" w:rsidR="002877C0" w:rsidRPr="00B80864" w:rsidRDefault="002877C0" w:rsidP="005C01E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eastAsia="Calibri" w:hAnsi="Times New Roman" w:cs="Times New Roman"/>
          <w:sz w:val="28"/>
          <w:szCs w:val="28"/>
        </w:rPr>
        <w:t xml:space="preserve">Об информации о состоянии </w:t>
      </w:r>
    </w:p>
    <w:p w14:paraId="67A4A158" w14:textId="77777777" w:rsidR="002877C0" w:rsidRPr="00B80864" w:rsidRDefault="002877C0" w:rsidP="005C01E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eastAsia="Calibri" w:hAnsi="Times New Roman" w:cs="Times New Roman"/>
          <w:sz w:val="28"/>
          <w:szCs w:val="28"/>
        </w:rPr>
        <w:t xml:space="preserve">законности и результатах надзорной </w:t>
      </w:r>
    </w:p>
    <w:p w14:paraId="31CE920C" w14:textId="77777777" w:rsidR="002877C0" w:rsidRPr="00B80864" w:rsidRDefault="002877C0" w:rsidP="005C01E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eastAsia="Calibri" w:hAnsi="Times New Roman" w:cs="Times New Roman"/>
          <w:sz w:val="28"/>
          <w:szCs w:val="28"/>
        </w:rPr>
        <w:t xml:space="preserve">деятельности на территории </w:t>
      </w:r>
    </w:p>
    <w:p w14:paraId="5CC5B179" w14:textId="77777777" w:rsidR="002877C0" w:rsidRPr="00B80864" w:rsidRDefault="002877C0" w:rsidP="005C01E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14:paraId="27364401" w14:textId="66DB7DEF" w:rsidR="002877C0" w:rsidRPr="00B80864" w:rsidRDefault="002877C0" w:rsidP="005C01E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37AC2" w:rsidRPr="00B80864">
        <w:rPr>
          <w:rFonts w:ascii="Times New Roman" w:eastAsia="Calibri" w:hAnsi="Times New Roman" w:cs="Times New Roman"/>
          <w:sz w:val="28"/>
          <w:szCs w:val="28"/>
        </w:rPr>
        <w:t>первое полугодие 2022 года</w:t>
      </w:r>
    </w:p>
    <w:p w14:paraId="67DB940E" w14:textId="77777777" w:rsidR="002877C0" w:rsidRPr="00B80864" w:rsidRDefault="002877C0" w:rsidP="005C01E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CBD80A" w14:textId="79F77189" w:rsidR="002877C0" w:rsidRPr="00B80864" w:rsidRDefault="002877C0" w:rsidP="005C01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Pr="00B80864">
        <w:rPr>
          <w:rFonts w:ascii="Times New Roman" w:eastAsia="Calibri" w:hAnsi="Times New Roman" w:cs="Times New Roman"/>
          <w:sz w:val="28"/>
          <w:szCs w:val="28"/>
        </w:rPr>
        <w:t xml:space="preserve"> о состоянии законности и результатах надзорной деятельности на территории Ханты-Мансийского района за </w:t>
      </w:r>
      <w:r w:rsidR="00437AC2" w:rsidRPr="00B80864">
        <w:rPr>
          <w:rFonts w:ascii="Times New Roman" w:eastAsia="Calibri" w:hAnsi="Times New Roman" w:cs="Times New Roman"/>
          <w:sz w:val="28"/>
          <w:szCs w:val="28"/>
        </w:rPr>
        <w:t xml:space="preserve">первое полугодие </w:t>
      </w:r>
      <w:r w:rsidRPr="00B80864">
        <w:rPr>
          <w:rFonts w:ascii="Times New Roman" w:eastAsia="Calibri" w:hAnsi="Times New Roman" w:cs="Times New Roman"/>
          <w:sz w:val="28"/>
          <w:szCs w:val="28"/>
        </w:rPr>
        <w:t>202</w:t>
      </w:r>
      <w:r w:rsidR="00437AC2" w:rsidRPr="00B80864">
        <w:rPr>
          <w:rFonts w:ascii="Times New Roman" w:eastAsia="Calibri" w:hAnsi="Times New Roman" w:cs="Times New Roman"/>
          <w:sz w:val="28"/>
          <w:szCs w:val="28"/>
        </w:rPr>
        <w:t>2</w:t>
      </w:r>
      <w:r w:rsidRPr="00B8086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37AC2" w:rsidRPr="00B80864">
        <w:rPr>
          <w:rFonts w:ascii="Times New Roman" w:eastAsia="Calibri" w:hAnsi="Times New Roman" w:cs="Times New Roman"/>
          <w:sz w:val="28"/>
          <w:szCs w:val="28"/>
        </w:rPr>
        <w:t>а</w:t>
      </w:r>
      <w:r w:rsidRPr="00B80864">
        <w:rPr>
          <w:rFonts w:ascii="Times New Roman" w:hAnsi="Times New Roman" w:cs="Times New Roman"/>
          <w:sz w:val="28"/>
          <w:szCs w:val="28"/>
        </w:rPr>
        <w:t xml:space="preserve">, представленную Ханты-Мансийской межрайонной прокуратурой, руководствуясь частью 1 статьи 31 Устава Ханты-Мансийского района, </w:t>
      </w:r>
    </w:p>
    <w:p w14:paraId="402BFA9C" w14:textId="77777777" w:rsidR="002877C0" w:rsidRPr="00B80864" w:rsidRDefault="002877C0" w:rsidP="005C01E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39F9A0" w14:textId="77777777" w:rsidR="002877C0" w:rsidRPr="00B80864" w:rsidRDefault="002877C0" w:rsidP="005C01E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864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352A6FDA" w14:textId="77777777" w:rsidR="002877C0" w:rsidRPr="00B80864" w:rsidRDefault="002877C0" w:rsidP="005C01E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11DA6F" w14:textId="77777777" w:rsidR="002877C0" w:rsidRPr="00B80864" w:rsidRDefault="002877C0" w:rsidP="005C01E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64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FF59ECE" w14:textId="77777777" w:rsidR="002877C0" w:rsidRPr="00B80864" w:rsidRDefault="002877C0" w:rsidP="005C01E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DA0D71" w14:textId="3F94AEBC" w:rsidR="002877C0" w:rsidRPr="00B80864" w:rsidRDefault="002877C0" w:rsidP="005C01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B80864">
        <w:rPr>
          <w:rFonts w:ascii="Times New Roman" w:eastAsia="Calibri" w:hAnsi="Times New Roman" w:cs="Times New Roman"/>
          <w:sz w:val="28"/>
          <w:szCs w:val="28"/>
        </w:rPr>
        <w:t>о состоянии законности и результатах надзорной деятельности на территории Ханты-Мансийского района за</w:t>
      </w:r>
      <w:r w:rsidR="00437AC2" w:rsidRPr="00B80864">
        <w:rPr>
          <w:rFonts w:ascii="Times New Roman" w:eastAsia="Calibri" w:hAnsi="Times New Roman" w:cs="Times New Roman"/>
          <w:sz w:val="28"/>
          <w:szCs w:val="28"/>
        </w:rPr>
        <w:t xml:space="preserve"> первое полугодие</w:t>
      </w:r>
      <w:r w:rsidRPr="00B808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37AC2" w:rsidRPr="00B80864">
        <w:rPr>
          <w:rFonts w:ascii="Times New Roman" w:eastAsia="Calibri" w:hAnsi="Times New Roman" w:cs="Times New Roman"/>
          <w:sz w:val="28"/>
          <w:szCs w:val="28"/>
        </w:rPr>
        <w:t>2</w:t>
      </w:r>
      <w:r w:rsidRPr="00B8086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37AC2" w:rsidRPr="00B80864">
        <w:rPr>
          <w:rFonts w:ascii="Times New Roman" w:eastAsia="Calibri" w:hAnsi="Times New Roman" w:cs="Times New Roman"/>
          <w:sz w:val="28"/>
          <w:szCs w:val="28"/>
        </w:rPr>
        <w:t>а</w:t>
      </w:r>
      <w:r w:rsidRPr="00B80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864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44428244" w14:textId="77777777" w:rsidR="002877C0" w:rsidRPr="00B80864" w:rsidRDefault="002877C0" w:rsidP="005C01E8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C38DA" w14:textId="77777777" w:rsidR="002877C0" w:rsidRPr="00B80864" w:rsidRDefault="002877C0" w:rsidP="005C01E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5D7611" w14:textId="77777777" w:rsidR="002877C0" w:rsidRPr="00B80864" w:rsidRDefault="002877C0" w:rsidP="005C01E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80864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4C874AAF" w14:textId="4C9785D7" w:rsidR="002877C0" w:rsidRPr="00B80864" w:rsidRDefault="005C01E8" w:rsidP="005C01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864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877C0" w:rsidRPr="00B80864">
        <w:rPr>
          <w:rFonts w:ascii="Times New Roman" w:eastAsia="Calibri" w:hAnsi="Times New Roman" w:cs="Times New Roman"/>
          <w:bCs/>
          <w:sz w:val="28"/>
          <w:szCs w:val="28"/>
        </w:rPr>
        <w:t xml:space="preserve">Е.А. Данилова  </w:t>
      </w:r>
    </w:p>
    <w:p w14:paraId="7D48F39D" w14:textId="02F54FCA" w:rsidR="002877C0" w:rsidRPr="005B7B3E" w:rsidRDefault="005B7B3E" w:rsidP="005C01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16.09.2022</w:t>
      </w:r>
    </w:p>
    <w:p w14:paraId="17DF27C9" w14:textId="77777777" w:rsidR="005C0172" w:rsidRPr="00B80864" w:rsidRDefault="005C0172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67060AE8" w14:textId="77777777" w:rsidR="005C0172" w:rsidRPr="00B80864" w:rsidRDefault="005C0172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6DDD4BA8" w14:textId="77777777" w:rsidR="005C0172" w:rsidRPr="00B80864" w:rsidRDefault="005C0172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5DAC6304" w14:textId="77777777" w:rsidR="005C0172" w:rsidRPr="00B80864" w:rsidRDefault="005C0172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395F7B60" w14:textId="77777777" w:rsidR="005C0172" w:rsidRPr="00B80864" w:rsidRDefault="005C0172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37C9C223" w14:textId="77777777" w:rsidR="005C01E8" w:rsidRPr="00B80864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390ACDB8" w14:textId="77777777" w:rsidR="005C01E8" w:rsidRPr="00B80864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52299866" w14:textId="77777777" w:rsidR="005C01E8" w:rsidRPr="00B80864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20C8592C" w14:textId="77777777" w:rsidR="005C01E8" w:rsidRPr="00B80864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6A4226B1" w14:textId="77777777" w:rsidR="007B68C0" w:rsidRPr="00B80864" w:rsidRDefault="007B68C0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06D3388F" w14:textId="77777777" w:rsidR="007B68C0" w:rsidRPr="00B80864" w:rsidRDefault="007B68C0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702D7AC5" w14:textId="77777777" w:rsidR="007B68C0" w:rsidRPr="00B80864" w:rsidRDefault="007B68C0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4111B7D7" w14:textId="77777777" w:rsidR="005C01E8" w:rsidRPr="00B80864" w:rsidRDefault="005C01E8" w:rsidP="005C01E8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6CA37B4B" w14:textId="469BEC20" w:rsidR="007B68C0" w:rsidRPr="00B80864" w:rsidRDefault="007B68C0" w:rsidP="007B68C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Приложение</w:t>
      </w:r>
    </w:p>
    <w:p w14:paraId="56BDE7CD" w14:textId="77777777" w:rsidR="007B68C0" w:rsidRPr="00B80864" w:rsidRDefault="007B68C0" w:rsidP="007B68C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решению Думы</w:t>
      </w:r>
    </w:p>
    <w:p w14:paraId="4E72918B" w14:textId="77777777" w:rsidR="007B68C0" w:rsidRPr="00B80864" w:rsidRDefault="007B68C0" w:rsidP="007B68C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Ханты-Мансийского района</w:t>
      </w:r>
    </w:p>
    <w:p w14:paraId="66BE6E5A" w14:textId="52AFEECD" w:rsidR="007B68C0" w:rsidRPr="00B80864" w:rsidRDefault="005B7B3E" w:rsidP="007B68C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16.09.2022 № </w:t>
      </w:r>
      <w:r w:rsidR="00B318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170</w:t>
      </w:r>
      <w:bookmarkStart w:id="1" w:name="_GoBack"/>
      <w:bookmarkEnd w:id="1"/>
    </w:p>
    <w:p w14:paraId="36276CBB" w14:textId="11006EFA" w:rsidR="007B68C0" w:rsidRPr="00B80864" w:rsidRDefault="007B68C0" w:rsidP="007B68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A3FE93" w14:textId="77777777" w:rsidR="007B68C0" w:rsidRPr="00B80864" w:rsidRDefault="007B68C0" w:rsidP="007B68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14:paraId="179BF28D" w14:textId="48B38838" w:rsidR="00B80864" w:rsidRDefault="007B68C0" w:rsidP="007B68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о состоянии законности по терри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 xml:space="preserve">тории Ханты-Мансийского района 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и результатах надзорной деятельности Ханты-Мансийской межрайонной прокуратуры </w:t>
      </w:r>
    </w:p>
    <w:p w14:paraId="526A436A" w14:textId="54B4D58D" w:rsidR="007B68C0" w:rsidRPr="00B80864" w:rsidRDefault="007B68C0" w:rsidP="007B68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за 1 полугодие 2022 года</w:t>
      </w:r>
    </w:p>
    <w:p w14:paraId="51A916A5" w14:textId="77777777" w:rsidR="007B68C0" w:rsidRPr="00B80864" w:rsidRDefault="007B68C0" w:rsidP="007B68C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5EA5F1" w14:textId="77777777" w:rsidR="007B68C0" w:rsidRPr="00B80864" w:rsidRDefault="007B68C0" w:rsidP="007B68C0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В 1 полугодии 2022 года надзорная деятельность межрайонной прокуратуры строилась с учетом складывающейся в стране ситуации, указаний руководства государства, Генеральной прокуратуры Российской Федерации.</w:t>
      </w:r>
    </w:p>
    <w:p w14:paraId="3510ED43" w14:textId="57CBDD7D" w:rsidR="007B68C0" w:rsidRPr="00B80864" w:rsidRDefault="007B68C0" w:rsidP="007B68C0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Совместно с правоохранительными органами, органами государственной власти и местного самоуправления принимались меры по обеспечению соблюдения законности и правопорядка, безопасности, недопущению роста социальной напряженности.</w:t>
      </w:r>
    </w:p>
    <w:p w14:paraId="656AED98" w14:textId="2979B2C9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прокуратурой 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>повышенное внимание уделялось вопросам соблюдения соц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иальных прав граждан, исполнения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в сфере жилищно-коммунального хозяйст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ва, охраны природы, расходования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органа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ми власти и учреждениями, защиты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прав субъектов предпринимательской деятельности, реализации национ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альных проектов, противодействия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проявлениям коррупции, бор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ьбы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с преступностью.</w:t>
      </w:r>
    </w:p>
    <w:p w14:paraId="5229BA48" w14:textId="0ED06348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За прошедшие полгода в межрайонную прокуратуру обратилось более 1100 граждан, организаций и предпринимателей, из них более 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750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обращений рассмотрены непосредственно в прокуратуре. Каждая пятая жалоба признана обоснованной, прокуратурой приняты меры реагирования.</w:t>
      </w:r>
    </w:p>
    <w:p w14:paraId="25DC42BC" w14:textId="065BF69A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Традиционно наибольшее количество обращений, поступающих в прокуратуру – это обращения о нарушениях трудовых прав граждан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, законодательства в сфере ЖКХ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>, пенсионного законодатель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ства и законодательства о социальной поддержке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граждан, по вопросам деятельности правоохранительных органов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, исполнительного производства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F8F354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Основаниями для принятия мер прокурорского реагирования являются не только результаты рассмотрения обращений, но и результаты иных проверочных мероприятий, анализ состояния законности в конкретной сфере.</w:t>
      </w:r>
    </w:p>
    <w:p w14:paraId="229B8681" w14:textId="4F0D6071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Всего за прошедшие полгода выявлено более 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нарушений закона. Для устранения нарушений закона принято порядка 500 актов прокурорского реагирования, к административной и дисциплинарной ответственности по мерам прокурорского реагирования привлечено более 200 лиц, к уголовной – 12 лиц. Фактически восстановлены права 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14:paraId="4383C40D" w14:textId="78D528B4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залогом осуществления возложенных на органы местного самоуправления 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 xml:space="preserve">обязанностей 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является соответствующая законодательству нормативная база, сфера нормотворчества органов местного самоуправления оставалась одной из актуальных в этом году. Межрайонной прокуратурой проверено на предмет соответствия действующему законодательству и проведена 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антикоррупционная экспертиза более 600 нормативных правовых актов органов местного 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самоуправления и их проектов.</w:t>
      </w:r>
    </w:p>
    <w:p w14:paraId="3105019D" w14:textId="77777777" w:rsidR="007B68C0" w:rsidRPr="00B80864" w:rsidRDefault="007B68C0" w:rsidP="007B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До настоящего времени вопрос своевременного приведения муниципальных нормативных правовых актов в соответствие с действующим законодательством органам местного самоуправления Ханты-Мансийского района и сельским поселениям Ханты-Мансийского района остается в разряде проблемных.</w:t>
      </w:r>
    </w:p>
    <w:p w14:paraId="281BA42D" w14:textId="675C6B97" w:rsidR="007B68C0" w:rsidRPr="00B80864" w:rsidRDefault="007B68C0" w:rsidP="007B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прокуратурой опротестовано 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нормативн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ых правовых актов. По фактам не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надлежащей нормотворческой деятельности внесено 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представлений. Данные показатели не свидетельствуют о позитивной тенденции, поскольку в прошлом году таких актов прокурорского реагирования принималось меньше.</w:t>
      </w:r>
    </w:p>
    <w:p w14:paraId="47761868" w14:textId="77777777" w:rsidR="007B68C0" w:rsidRPr="00B80864" w:rsidRDefault="007B68C0" w:rsidP="007B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Результаты прокурорского надзора свидетельствуют не только о том, что методическая помощь сельским поселениям в вопросах нормотворческой деятельности не оказывается, но и правовые акты администрации района своевременно не корректируются, необходимый мониторинг изменений действующего законодательства не ведется, результаты такого мониторинга оперативно в работу не внедряются.</w:t>
      </w:r>
    </w:p>
    <w:p w14:paraId="18932141" w14:textId="749E7D59" w:rsidR="007B68C0" w:rsidRPr="00B80864" w:rsidRDefault="00144A5F" w:rsidP="007B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не</w:t>
      </w:r>
      <w:r w:rsidR="007B68C0" w:rsidRPr="00B80864">
        <w:rPr>
          <w:rFonts w:ascii="Times New Roman" w:eastAsia="Times New Roman" w:hAnsi="Times New Roman" w:cs="Times New Roman"/>
          <w:sz w:val="28"/>
          <w:szCs w:val="28"/>
        </w:rPr>
        <w:t xml:space="preserve">смотря на вступление в силу 01.01.2022 Федерального закона № 123-ФЗ от 30.04.2021, которым исключены полномочия органов местного самоуправления на осуществление </w:t>
      </w:r>
      <w:proofErr w:type="gramStart"/>
      <w:r w:rsidR="007B68C0" w:rsidRPr="00B8086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7B68C0" w:rsidRPr="00B8086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охранной недр при добыче общераспространенных полезных ископаемых, действовавшие правовые акты администрации района в данной сфере своевременно отменены не были вплоть до их опротестования 24.02.2022. </w:t>
      </w:r>
    </w:p>
    <w:p w14:paraId="5F6F7B6D" w14:textId="1DDE0BB2" w:rsidR="007B68C0" w:rsidRPr="00B80864" w:rsidRDefault="007B68C0" w:rsidP="007B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Также, до настоящего времени не приведено в соответствие </w:t>
      </w:r>
      <w:r w:rsidRPr="00B8086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решение Думы Ханты-Мансийского района от 24.03.2016 № 579 «О порядке проведения конкурса по </w:t>
      </w:r>
      <w:r w:rsidR="00144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отбору кандидатур на должность г</w:t>
      </w:r>
      <w:r w:rsidRPr="00B8086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лавы Ханты-Мансийского района» несмотря на то, что протест прокурора Думой района рассмотрен еще 20.05.2022, что также свидетельствует о недостаточной работе представительного органа по корректировке своей нормативной правовой базы.</w:t>
      </w:r>
      <w:proofErr w:type="gramEnd"/>
    </w:p>
    <w:p w14:paraId="52DEE302" w14:textId="77777777" w:rsidR="007B68C0" w:rsidRPr="00B80864" w:rsidRDefault="007B68C0" w:rsidP="007B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В сфере надзора за соблюдением прав человека и гражданина наиболее актуальными являются вопросы обеспечения трудовых прав граждан, в том числе на своевременную оплату труда.</w:t>
      </w:r>
    </w:p>
    <w:p w14:paraId="4BB79878" w14:textId="6968BEFA" w:rsidR="007B68C0" w:rsidRPr="00B80864" w:rsidRDefault="007B68C0" w:rsidP="007B6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Принятыми мерами пресечено более 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нарушений в данной сфере и восстановлены права десятков граждан. В результате принятия межрайонной прокуратурой мер воздействия на работодателей, задерживающих выплату зарплаты, денежные средства работникам выплачивались еще на стадии проверки.</w:t>
      </w:r>
    </w:p>
    <w:p w14:paraId="5D611E24" w14:textId="3ABC3AB8" w:rsidR="007B68C0" w:rsidRPr="00B80864" w:rsidRDefault="007B68C0" w:rsidP="007B6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За нарушения трудовых прав работников по инициативе прокурора к дисциплинарной и административной ответственности привлечено свыше 30 д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олжностных лиц работодателей.</w:t>
      </w:r>
    </w:p>
    <w:p w14:paraId="71CE3027" w14:textId="00338A8F" w:rsidR="007B68C0" w:rsidRPr="00B80864" w:rsidRDefault="007B68C0" w:rsidP="007B6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В текущем году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 выявлены единичные 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>факты нарушения трудовых прав работников. В тоже время, данный вопрос должен оставаться на постоянном контроле</w:t>
      </w:r>
      <w:r w:rsidR="000635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635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признаков таких нарушений, они должны пресекаться совместными усилиями.</w:t>
      </w:r>
    </w:p>
    <w:p w14:paraId="0E1A49A6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Особое внимание уделялось защите социальных прав, прав престарелых и инвалидов. В данной сфере правоотношений межрайонной прокуратурой принимаются меры по восстановлению пенсионных прав граждан.</w:t>
      </w:r>
    </w:p>
    <w:p w14:paraId="218813FD" w14:textId="6188454C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надзора за соблюдением прав и свобод человека и гражданина защите прав несовершеннолетних уделяется наибольшее внимание. Бездействие уполномоченных органов системы профилактики и прямое нарушение требований закона о защите семьи, материнства и детства, об образовании, о профилактике безнадзорности и правонарушений несовершеннолетних стали основанием для принятия свыше 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актов прокурорского реагирования. За нарушения законодательства о правах несовершеннолетних привлечено к ответственности более 30 должностных лиц.</w:t>
      </w:r>
    </w:p>
    <w:p w14:paraId="7C738A9A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Ханты-Мансийского района недостаточно принимаются меры к исполнению обязанности по предоставлению земельных участков многодетным семьям. Из 24 семей, состоящих на учете, только двум предоставлены участки в 2022 году и двум семьям планируется предоставить социальную выплату. </w:t>
      </w:r>
    </w:p>
    <w:p w14:paraId="779930E6" w14:textId="484E2F82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Полномочия по обеспечению жильем детей-сирот также не исполнены в полном объеме. На текущий момент в списке состоит 8 лиц указанной категории, 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>приобретено администрацией района л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ишь 1 жилое помещение. При этом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отметить, что обязанность предоставить жилое помещение лицу, состоящему в списке, возникает у администрации района на следующий день после наступления</w:t>
      </w:r>
      <w:r w:rsidR="00F07CC9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совершеннолетия, а не в течение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14:paraId="4AF5EA9B" w14:textId="4094E89F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современных условиях не менее актуальны вопросы 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в жилищно-коммунальной сфере. Первоочередное внимание прокуратурой уделено вопросам оказания гражданам коммунальных услуг надлежащего качества, наличия задолженности управляющих компаний за поставленные коммунальные услуги, надлежащего осуществления </w:t>
      </w: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>последними</w:t>
      </w:r>
      <w:proofErr w:type="gram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функций по управлению жилищным фондом. По выявленным нарушениям закона в данной сфере принято более 50 актов прокурорского реагирования, в том числе, по материалам прокурорской провер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ки возбуждено 1 уголовное дело.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установленной законом ответственности привлечены должностные лица организаций жилищно-коммунального комплекса.</w:t>
      </w:r>
    </w:p>
    <w:p w14:paraId="57360A4F" w14:textId="77777777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В прошедшем году остро стояла проблема получения Ханты-Мансийским районом паспорта готовности к осенне-зимнему периоду. В результате принятых мер, в том числе, прокурорского реагирования и постоянному контролю со стороны межрайонной прокуратуры администрацией района и МП «ЖЭК-3» проведена работа, направленная на устранение нарушений, препятствующих получению паспорта готовности к отопительному сезону.</w:t>
      </w:r>
    </w:p>
    <w:p w14:paraId="4F3655E9" w14:textId="0403AB1A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 судом удовлетворено исковое заявление прокурора о возложении на коммунальное предприятие обязанности по устранению наруше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ний, допущенных при подготовке к осенне-зимнему периоду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>. Между тем, до настоящего времени муниципальным предприятием в прокуратуру не предо</w:t>
      </w:r>
      <w:r w:rsidR="00144A5F">
        <w:rPr>
          <w:rFonts w:ascii="Times New Roman" w:eastAsia="Times New Roman" w:hAnsi="Times New Roman" w:cs="Times New Roman"/>
          <w:sz w:val="28"/>
          <w:szCs w:val="28"/>
        </w:rPr>
        <w:t>ставлены сведения об исполнении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данного судебного решения.</w:t>
      </w:r>
    </w:p>
    <w:p w14:paraId="728AA3FB" w14:textId="77777777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Вопрос получения паспорта готовности к отопительному сезону остается на моем личном контроле. </w:t>
      </w:r>
    </w:p>
    <w:p w14:paraId="4BC1DA4E" w14:textId="77777777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этого, МП «ЖЭК-3» регулярно накапливает долги за поставленные энергоресурсы. Меры к их погашению принимаются только после принятия мер прокурорского реагирования.</w:t>
      </w:r>
    </w:p>
    <w:p w14:paraId="66E0C191" w14:textId="545734AA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>показали результаты прокурорских проверок причиной задолженности муниципального предприятия за энергоресурсы стало</w:t>
      </w:r>
      <w:proofErr w:type="gram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отсутствие работы по взысканию дебиторской задолженности, за счет которой возможно долги погасить. На предприятии не налажена работа по учету дебиторов, размера их долга, акты сверки с ними не подписываются, меры к взысканию долгов не принимаются. Как показала проводимая в настоящее время проверка, значительную часть дебиторов МП ЖЭК-3 составляют муниципальные учреждения, школы, библиотеки, администрации сельских поселений, накопившие не малые долги за услуги ЖКХ, но данные факты остаются без должного </w:t>
      </w: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proofErr w:type="gram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как руководства муниципального предприятия</w:t>
      </w:r>
      <w:r w:rsidR="000635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так и курирующих этот вопрос работников администрации района.</w:t>
      </w:r>
    </w:p>
    <w:p w14:paraId="576ED2B5" w14:textId="503CBD9F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В прошедшем году прокуратурой принимались меры реагирования по вопросам предоставления населению качественной питьевой воды. Адекватные меры, направленные на устранение нарушений закона</w:t>
      </w:r>
      <w:r w:rsidR="00F07C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муниципалитетом не приняты. В настоящее время районным судом рассматривается гражданское дело по иску прокурора к администрации района, МП ЖЭК-3 и администрации сельского поселения </w:t>
      </w:r>
      <w:proofErr w:type="spellStart"/>
      <w:r w:rsidRPr="00B80864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о возложении обязанности по предоставлению населению воды надлежащего качества. </w:t>
      </w:r>
    </w:p>
    <w:p w14:paraId="51964D55" w14:textId="77777777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Но и предъявление иска не </w:t>
      </w:r>
      <w:proofErr w:type="spellStart"/>
      <w:r w:rsidRPr="00B80864">
        <w:rPr>
          <w:rFonts w:ascii="Times New Roman" w:eastAsia="Times New Roman" w:hAnsi="Times New Roman" w:cs="Times New Roman"/>
          <w:sz w:val="28"/>
          <w:szCs w:val="28"/>
        </w:rPr>
        <w:t>сподвигло</w:t>
      </w:r>
      <w:proofErr w:type="spell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власти района принять меры по устранению нарушений прав жителей на нормальные условия жизни. В настоящее время не организована работа по решению проблемы качественной воды в районе.</w:t>
      </w:r>
    </w:p>
    <w:p w14:paraId="0E219F15" w14:textId="51AA6409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Также в настоящее время расследуется уголовное дело по фактам мошенничества при строительстве КОС в деревне Шапша. Строился этот объект за счет средств автономного округа, заказчик – окружное управление капитального строительства. Как установлено в ходе проверки объект свои функции не выполняет, очистка стоков</w:t>
      </w:r>
      <w:r w:rsidR="00F07CC9">
        <w:rPr>
          <w:rFonts w:ascii="Times New Roman" w:eastAsia="Times New Roman" w:hAnsi="Times New Roman" w:cs="Times New Roman"/>
          <w:sz w:val="28"/>
          <w:szCs w:val="28"/>
        </w:rPr>
        <w:t xml:space="preserve"> не происходит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ввиду его несоответствия проекту и условиям государственного контракта.</w:t>
      </w:r>
    </w:p>
    <w:p w14:paraId="3AE09D01" w14:textId="308C37C0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Не меньшую озабоченность вызывает вопрос сноса аварийного жилищного </w:t>
      </w:r>
      <w:r w:rsidRPr="00F07CC9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F07CC9" w:rsidRPr="00F07CC9">
        <w:rPr>
          <w:rFonts w:ascii="Times New Roman" w:hAnsi="Times New Roman" w:cs="Times New Roman"/>
          <w:sz w:val="28"/>
          <w:szCs w:val="28"/>
        </w:rPr>
        <w:t xml:space="preserve"> и </w:t>
      </w:r>
      <w:r w:rsidR="00F07CC9" w:rsidRPr="00F07CC9">
        <w:rPr>
          <w:rFonts w:ascii="Times New Roman" w:eastAsia="Times New Roman" w:hAnsi="Times New Roman" w:cs="Times New Roman"/>
          <w:sz w:val="28"/>
          <w:szCs w:val="28"/>
        </w:rPr>
        <w:t>расселения</w:t>
      </w:r>
      <w:r w:rsidR="00F07CC9">
        <w:rPr>
          <w:rFonts w:ascii="Times New Roman" w:eastAsia="Times New Roman" w:hAnsi="Times New Roman" w:cs="Times New Roman"/>
          <w:sz w:val="28"/>
          <w:szCs w:val="28"/>
        </w:rPr>
        <w:t xml:space="preserve"> жильцов</w:t>
      </w:r>
      <w:r w:rsidRPr="00F07CC9">
        <w:rPr>
          <w:rFonts w:ascii="Times New Roman" w:eastAsia="Times New Roman" w:hAnsi="Times New Roman" w:cs="Times New Roman"/>
          <w:sz w:val="28"/>
          <w:szCs w:val="28"/>
        </w:rPr>
        <w:t>. В прошлом году остались не освоенными бюджетные средства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в размере более 95 миллионов рублей, предназначенные для ликвидации аварийных домов. Надо отметить, что указанные средства выделены в рамках реализации национальных проектов. На текущий момент по данным Департамента финансов на 01.08.2022 исполнение национального проекта «Жилье и городская среда» </w:t>
      </w: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районе составляет 0%. </w:t>
      </w:r>
    </w:p>
    <w:p w14:paraId="55F407ED" w14:textId="77777777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Поскольку прокуратурой сопровождение реализации национальных проектов осуществляется в текущем режиме, данный вид надзора отнесен к </w:t>
      </w: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>приоритетным</w:t>
      </w:r>
      <w:proofErr w:type="gramEnd"/>
      <w:r w:rsidRPr="00B80864">
        <w:rPr>
          <w:rFonts w:ascii="Times New Roman" w:eastAsia="Times New Roman" w:hAnsi="Times New Roman" w:cs="Times New Roman"/>
          <w:sz w:val="28"/>
          <w:szCs w:val="28"/>
        </w:rPr>
        <w:t>, нами постоянно анализируется ситуация по законному и своевременному расходованию выделенных бюджетных средств.</w:t>
      </w:r>
    </w:p>
    <w:p w14:paraId="0DE103C4" w14:textId="77777777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В настоящее время администрацией района не приняты меры к надлежащей реализации национальных проектов «Малое и среднее предпринимательство».</w:t>
      </w:r>
    </w:p>
    <w:p w14:paraId="0C5A2290" w14:textId="77777777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на 01.08.2022 </w:t>
      </w: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районе реализовано 2,1% выделенных бюджетных средств.</w:t>
      </w:r>
    </w:p>
    <w:p w14:paraId="78ECB62A" w14:textId="77777777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Вопросы соблюдения бюджетного законодательства и законодательства о контрактной системе закупок в целом находятся на постоянном контроле прокуратуры.</w:t>
      </w:r>
    </w:p>
    <w:p w14:paraId="2C1570E1" w14:textId="5838F8FF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К административной и дисциплинарной ответственности в текущем году за нарушения, связанные с расходованием средств бюджетов всех уровней</w:t>
      </w:r>
      <w:r w:rsidR="00F07C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прокурора привлечено более </w:t>
      </w:r>
      <w:r w:rsidR="00F07CC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лиц. Нарушения законодательства о контрактной системе закупок выявлялись и </w:t>
      </w: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0864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14:paraId="4D9838E3" w14:textId="618CFD41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В рамках надзора за соблюдением законодательства о закупках для государственных и муниципальных нужд особое внимание уделяется фактам несвоевременной оплаты муниципальными заказчиками выполненных работ. Такие факты требуют немедлен</w:t>
      </w:r>
      <w:r w:rsidR="00F07CC9">
        <w:rPr>
          <w:rFonts w:ascii="Times New Roman" w:eastAsia="Times New Roman" w:hAnsi="Times New Roman" w:cs="Times New Roman"/>
          <w:sz w:val="28"/>
          <w:szCs w:val="28"/>
        </w:rPr>
        <w:t xml:space="preserve">ного реагирования, поскольку </w:t>
      </w:r>
      <w:proofErr w:type="spellStart"/>
      <w:r w:rsidR="00F07CC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proofErr w:type="spellEnd"/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средств от муниципального заказчика может повлечь для субъектов предпринимательства последствия в виде невыпл</w:t>
      </w:r>
      <w:r w:rsidR="00F07CC9">
        <w:rPr>
          <w:rFonts w:ascii="Times New Roman" w:eastAsia="Times New Roman" w:hAnsi="Times New Roman" w:cs="Times New Roman"/>
          <w:sz w:val="28"/>
          <w:szCs w:val="28"/>
        </w:rPr>
        <w:t>аты заработной платы, накопления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долгов перед контрагентами. В текущем году такое нарушение выявлено в Доме культуры сельского поселения Шапша.</w:t>
      </w:r>
    </w:p>
    <w:p w14:paraId="63CB2B70" w14:textId="77777777" w:rsidR="007B68C0" w:rsidRPr="00B80864" w:rsidRDefault="007B68C0" w:rsidP="007B68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 пристальным вниманием прокуратуры остаются вопросы защиты прав предпринимателей. По всем фактам нарушения законодательства о государственном контроле, надзоре, муниципальном контроле принимаются меры прокурорского реагирования, виновные лица привлекаются к установленной, вплоть до уголовной, ответственности. </w:t>
      </w:r>
    </w:p>
    <w:p w14:paraId="4BC9CBF8" w14:textId="0BC22B9E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Продолжены мероприятия по пресечению экологических правонарушений.  Внимание в данной сфере надзора потребовали вопросы соблюдения требований законодательства о защите вод и атмосферного воздуха, </w:t>
      </w:r>
      <w:r w:rsidR="00F07CC9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 и почв, лесопользования</w:t>
      </w:r>
      <w:r w:rsidRPr="00B80864">
        <w:rPr>
          <w:rFonts w:ascii="Times New Roman" w:eastAsia="Times New Roman" w:hAnsi="Times New Roman" w:cs="Times New Roman"/>
          <w:color w:val="000000"/>
          <w:sz w:val="28"/>
          <w:szCs w:val="28"/>
        </w:rPr>
        <w:t>. На территории района остро стоит вопрос по ликвидации несанкционированных ме</w:t>
      </w:r>
      <w:proofErr w:type="gramStart"/>
      <w:r w:rsidRPr="00B80864">
        <w:rPr>
          <w:rFonts w:ascii="Times New Roman" w:eastAsia="Times New Roman" w:hAnsi="Times New Roman" w:cs="Times New Roman"/>
          <w:color w:val="000000"/>
          <w:sz w:val="28"/>
          <w:szCs w:val="28"/>
        </w:rPr>
        <w:t>ст скл</w:t>
      </w:r>
      <w:proofErr w:type="gramEnd"/>
      <w:r w:rsidRPr="00B80864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F07CC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отходов, строительства</w:t>
      </w:r>
      <w:r w:rsidRPr="00B8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скотомогильника в п. Кирпичный. </w:t>
      </w:r>
    </w:p>
    <w:p w14:paraId="17A2CDBA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>В постоянном поле зрения прокуратуры находились вопросы соблюдения законодательства о межнациональных отношениях, противодействии экстремизму и терроризму.</w:t>
      </w:r>
    </w:p>
    <w:p w14:paraId="5BBB09DF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>В данной сфере уполномоченными органами власти приняты определенные меры, которые позволили сохранить в районе стабильную обстановку, не допустить актов терроризма, массовых конфликтов на национальной и религиозной почве.</w:t>
      </w:r>
    </w:p>
    <w:p w14:paraId="31769DC8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>В то же время, практика прокурорского надзора свидетельствует о том, что обозначенное направление продолжает оставаться актуальным.</w:t>
      </w:r>
    </w:p>
    <w:p w14:paraId="2E8FDF78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 антитеррористической защищенности актуален для учреждений культуры района, посетителями которых являются, в том числе, дети. </w:t>
      </w:r>
    </w:p>
    <w:p w14:paraId="607CC1F4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>Серьезную опасность представляет проблема распространения радикальных идей, а также информации экстремистского и террористического толка через сеть «Интернет». В связи с чем, органам местного самоуправления необходимо активизироваться в части мониторинга сети «Интернет», выявления запрещенного контента и направления информации в прокуратуру для его блокировки.</w:t>
      </w:r>
    </w:p>
    <w:p w14:paraId="2D2992CC" w14:textId="1A27CBE0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Продолжает оставаться актуальным надзор за соблюдением антикоррупционного законодательства. В текущем году выявлено более </w:t>
      </w:r>
      <w:r w:rsidR="00F07CC9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нарушений закона в данной сфере, в том числе в сфере муниципальной службы.</w:t>
      </w:r>
    </w:p>
    <w:p w14:paraId="2EF157D4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рассмотрения актов реагирования должностные лица администрации района привлечены к дисциплинарной ответственности (12) за предоставление недостоверных сведений о доходах, расходах, имуществе и обязательствах имущественного характера.</w:t>
      </w:r>
    </w:p>
    <w:p w14:paraId="7BC330EF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проводится аналогичная проверка в отношении депутатов районной Думы.</w:t>
      </w:r>
    </w:p>
    <w:p w14:paraId="0A3947A0" w14:textId="2001159D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>Пристальное внимание необходимо обратить на вопросы соблюдения законодательства об урегулировании конфликтов интересов. Нарушение этих требований устанавливались в администрациях сельских посе</w:t>
      </w:r>
      <w:r w:rsidR="005113DF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ений </w:t>
      </w:r>
      <w:proofErr w:type="spellStart"/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>Кышик</w:t>
      </w:r>
      <w:proofErr w:type="spellEnd"/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>Цингалы</w:t>
      </w:r>
      <w:proofErr w:type="spellEnd"/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>, администрации района.</w:t>
      </w:r>
    </w:p>
    <w:p w14:paraId="527D6FE9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Cs/>
          <w:sz w:val="28"/>
          <w:szCs w:val="28"/>
        </w:rPr>
        <w:t>По материалам прокурорской проверки бывший сотрудник Комитета образования района привлекается к уголовной ответственности за хищение бюджетных средств района. По ее инициативе Комитетом заключен муниципальный контракт на проведение мероприятия, работы по которому не выполнялись, а оплаченные исполнителю бюджетные средства обналичены и поделены между работником Комитета и представителем исполнителя.</w:t>
      </w:r>
    </w:p>
    <w:p w14:paraId="313B0C9F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Характеризуя состояние преступности в целом, необходимо отметить, что уровень ее снизился на 9%, при этом</w:t>
      </w:r>
      <w:r w:rsidRPr="00B8086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раскрываемость преступлений осталась на том же уровне и составила 50%.</w:t>
      </w:r>
    </w:p>
    <w:p w14:paraId="415FF479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Значительные усилия прокуратуры потребовались для обеспечения законности на начальной стадии уголовного судопроизводства.</w:t>
      </w:r>
    </w:p>
    <w:p w14:paraId="19328F17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При приеме, регистрации, рассмотрении правоохранительными органами сообщений о преступлениях, производстве следствия и дознания правоохранительными органами допущено более 1100 нарушений закона (в районе 350). Прокуратурой выявлено и поставлено на учет более 85 (в районе 20) преступлений, ранее неизвестных и неучтенных правоохранительными органами по различным причинам. После вмешательства прокуратуры по результатам дополнительных проверок возбуждено более 100 уголовных дел (район 25). </w:t>
      </w:r>
    </w:p>
    <w:p w14:paraId="43A8239F" w14:textId="6B016DC8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Судами в прошедшем году рассмотрено более 240 уголовных</w:t>
      </w:r>
      <w:r w:rsidR="00F07CC9">
        <w:rPr>
          <w:rFonts w:ascii="Times New Roman" w:eastAsia="Times New Roman" w:hAnsi="Times New Roman" w:cs="Times New Roman"/>
          <w:sz w:val="28"/>
          <w:szCs w:val="28"/>
        </w:rPr>
        <w:t xml:space="preserve"> дел, по которым государственное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обвинение поддержано межрайонной прокуратурой, более 200 гражданских и административных дел с участием прокурора. </w:t>
      </w:r>
    </w:p>
    <w:p w14:paraId="246B626E" w14:textId="77777777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Помимо надзорной деятельности межрайонной прокуратурой уделяется большое внимание взаимодействию с общественностью, средствами массовой информации и правовому просвещению граждан.</w:t>
      </w:r>
    </w:p>
    <w:p w14:paraId="46ABDD5E" w14:textId="6170D240" w:rsidR="007B68C0" w:rsidRPr="00B80864" w:rsidRDefault="007B68C0" w:rsidP="007B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В прошедшем году проведено около 300 мероприятий по разъясне</w:t>
      </w:r>
      <w:r w:rsidR="005113DF">
        <w:rPr>
          <w:rFonts w:ascii="Times New Roman" w:eastAsia="Times New Roman" w:hAnsi="Times New Roman" w:cs="Times New Roman"/>
          <w:sz w:val="28"/>
          <w:szCs w:val="28"/>
        </w:rPr>
        <w:t>нию законодательства и освещению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работы прокуратуры.</w:t>
      </w:r>
    </w:p>
    <w:p w14:paraId="4A583CF5" w14:textId="4FD3E3F4" w:rsidR="007B68C0" w:rsidRPr="00B80864" w:rsidRDefault="007B68C0" w:rsidP="007B6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Настоящая информация</w:t>
      </w:r>
      <w:r w:rsidR="000635A4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5113DF">
        <w:rPr>
          <w:rFonts w:ascii="Times New Roman" w:eastAsia="Times New Roman" w:hAnsi="Times New Roman" w:cs="Times New Roman"/>
          <w:sz w:val="28"/>
          <w:szCs w:val="28"/>
        </w:rPr>
        <w:t>ставлена</w:t>
      </w:r>
      <w:r w:rsidRPr="00B8086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4 Федерального закона «О прокуратуре Российской Федерации» для вашего сведения и выработки решений в соответствии с предоставленными полномочиями.</w:t>
      </w:r>
    </w:p>
    <w:bookmarkEnd w:id="0"/>
    <w:sectPr w:rsidR="007B68C0" w:rsidRPr="00B80864" w:rsidSect="005C01E8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E8FCF" w14:textId="77777777" w:rsidR="00AD74E5" w:rsidRDefault="00AD74E5" w:rsidP="004511D6">
      <w:pPr>
        <w:spacing w:after="0" w:line="240" w:lineRule="auto"/>
      </w:pPr>
      <w:r>
        <w:separator/>
      </w:r>
    </w:p>
  </w:endnote>
  <w:endnote w:type="continuationSeparator" w:id="0">
    <w:p w14:paraId="524DD9AE" w14:textId="77777777" w:rsidR="00AD74E5" w:rsidRDefault="00AD74E5" w:rsidP="0045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66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2549C1" w14:textId="7497148C" w:rsidR="005C01E8" w:rsidRPr="005C01E8" w:rsidRDefault="005C01E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01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1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1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8C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01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AD35" w14:textId="77777777" w:rsidR="00AD74E5" w:rsidRDefault="00AD74E5" w:rsidP="004511D6">
      <w:pPr>
        <w:spacing w:after="0" w:line="240" w:lineRule="auto"/>
      </w:pPr>
      <w:r>
        <w:separator/>
      </w:r>
    </w:p>
  </w:footnote>
  <w:footnote w:type="continuationSeparator" w:id="0">
    <w:p w14:paraId="6F2B95C8" w14:textId="77777777" w:rsidR="00AD74E5" w:rsidRDefault="00AD74E5" w:rsidP="00451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A7"/>
    <w:rsid w:val="00024579"/>
    <w:rsid w:val="000635A4"/>
    <w:rsid w:val="00124FDF"/>
    <w:rsid w:val="00144176"/>
    <w:rsid w:val="00144A5F"/>
    <w:rsid w:val="00146E23"/>
    <w:rsid w:val="00167420"/>
    <w:rsid w:val="00176282"/>
    <w:rsid w:val="002030A9"/>
    <w:rsid w:val="00203C53"/>
    <w:rsid w:val="00211384"/>
    <w:rsid w:val="00212EC9"/>
    <w:rsid w:val="0024096F"/>
    <w:rsid w:val="0026370A"/>
    <w:rsid w:val="002877C0"/>
    <w:rsid w:val="002F0691"/>
    <w:rsid w:val="00304735"/>
    <w:rsid w:val="00331D1D"/>
    <w:rsid w:val="003F4F91"/>
    <w:rsid w:val="00437AC2"/>
    <w:rsid w:val="00440F08"/>
    <w:rsid w:val="00441C8A"/>
    <w:rsid w:val="004511D6"/>
    <w:rsid w:val="004A7D23"/>
    <w:rsid w:val="004B00F0"/>
    <w:rsid w:val="005113DF"/>
    <w:rsid w:val="00524900"/>
    <w:rsid w:val="00532EF8"/>
    <w:rsid w:val="00582A12"/>
    <w:rsid w:val="005A14BC"/>
    <w:rsid w:val="005B7B3E"/>
    <w:rsid w:val="005C0172"/>
    <w:rsid w:val="005C01E8"/>
    <w:rsid w:val="00640476"/>
    <w:rsid w:val="00674B87"/>
    <w:rsid w:val="0069127F"/>
    <w:rsid w:val="006C5479"/>
    <w:rsid w:val="006C55FF"/>
    <w:rsid w:val="007140A4"/>
    <w:rsid w:val="00717A18"/>
    <w:rsid w:val="007868E9"/>
    <w:rsid w:val="007B68C0"/>
    <w:rsid w:val="008178C6"/>
    <w:rsid w:val="00856A0E"/>
    <w:rsid w:val="00886F40"/>
    <w:rsid w:val="008D234E"/>
    <w:rsid w:val="0090008B"/>
    <w:rsid w:val="00920646"/>
    <w:rsid w:val="00936181"/>
    <w:rsid w:val="00936FE6"/>
    <w:rsid w:val="009B22AF"/>
    <w:rsid w:val="009F63E6"/>
    <w:rsid w:val="00A50A5B"/>
    <w:rsid w:val="00AB254D"/>
    <w:rsid w:val="00AD17F0"/>
    <w:rsid w:val="00AD74E5"/>
    <w:rsid w:val="00B10B53"/>
    <w:rsid w:val="00B318C1"/>
    <w:rsid w:val="00B614DA"/>
    <w:rsid w:val="00B64FFC"/>
    <w:rsid w:val="00B80864"/>
    <w:rsid w:val="00B83094"/>
    <w:rsid w:val="00BA0EF0"/>
    <w:rsid w:val="00BD6568"/>
    <w:rsid w:val="00BE5AA7"/>
    <w:rsid w:val="00C0673F"/>
    <w:rsid w:val="00C26E15"/>
    <w:rsid w:val="00C84A00"/>
    <w:rsid w:val="00C9212A"/>
    <w:rsid w:val="00D80D65"/>
    <w:rsid w:val="00D94048"/>
    <w:rsid w:val="00DA0367"/>
    <w:rsid w:val="00DA3CCC"/>
    <w:rsid w:val="00DC49C0"/>
    <w:rsid w:val="00E62ED3"/>
    <w:rsid w:val="00ED7C3B"/>
    <w:rsid w:val="00EF2927"/>
    <w:rsid w:val="00F06DDC"/>
    <w:rsid w:val="00F07CC9"/>
    <w:rsid w:val="00F80E12"/>
    <w:rsid w:val="00FA37B4"/>
    <w:rsid w:val="00FA5854"/>
    <w:rsid w:val="00FC0CEB"/>
    <w:rsid w:val="00FD38A7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4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6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206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06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064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5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1D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5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1D6"/>
    <w:rPr>
      <w:rFonts w:eastAsiaTheme="minorEastAsia"/>
      <w:lang w:eastAsia="ru-RU"/>
    </w:rPr>
  </w:style>
  <w:style w:type="table" w:styleId="a9">
    <w:name w:val="Table Grid"/>
    <w:basedOn w:val="a1"/>
    <w:uiPriority w:val="59"/>
    <w:semiHidden/>
    <w:unhideWhenUsed/>
    <w:rsid w:val="00EF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C26E1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6E15"/>
    <w:rPr>
      <w:rFonts w:eastAsiaTheme="minorEastAsia"/>
      <w:lang w:eastAsia="ru-RU"/>
    </w:rPr>
  </w:style>
  <w:style w:type="character" w:styleId="ac">
    <w:name w:val="Hyperlink"/>
    <w:rsid w:val="00C26E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A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EF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rsid w:val="00287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6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206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06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064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5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1D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5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1D6"/>
    <w:rPr>
      <w:rFonts w:eastAsiaTheme="minorEastAsia"/>
      <w:lang w:eastAsia="ru-RU"/>
    </w:rPr>
  </w:style>
  <w:style w:type="table" w:styleId="a9">
    <w:name w:val="Table Grid"/>
    <w:basedOn w:val="a1"/>
    <w:uiPriority w:val="59"/>
    <w:semiHidden/>
    <w:unhideWhenUsed/>
    <w:rsid w:val="00EF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C26E1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6E15"/>
    <w:rPr>
      <w:rFonts w:eastAsiaTheme="minorEastAsia"/>
      <w:lang w:eastAsia="ru-RU"/>
    </w:rPr>
  </w:style>
  <w:style w:type="character" w:styleId="ac">
    <w:name w:val="Hyperlink"/>
    <w:rsid w:val="00C26E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A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EF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rsid w:val="00287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BB6F-2007-46FA-B6D7-BB0E9BC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Халикова Светлана</cp:lastModifiedBy>
  <cp:revision>9</cp:revision>
  <cp:lastPrinted>2022-09-22T08:01:00Z</cp:lastPrinted>
  <dcterms:created xsi:type="dcterms:W3CDTF">2022-09-14T10:24:00Z</dcterms:created>
  <dcterms:modified xsi:type="dcterms:W3CDTF">2022-09-22T08:02:00Z</dcterms:modified>
</cp:coreProperties>
</file>